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注册类药物临床试验立项和首次伦理审</w:t>
      </w:r>
      <w:bookmarkStart w:id="0" w:name="_GoBack"/>
      <w:bookmarkEnd w:id="0"/>
      <w:r>
        <w:rPr>
          <w:rFonts w:hint="eastAsia"/>
          <w:b/>
          <w:sz w:val="30"/>
          <w:szCs w:val="30"/>
        </w:rPr>
        <w:t>查文件清单（版本号1.0版，2021年6月1日）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2012"/>
        <w:gridCol w:w="5276"/>
        <w:gridCol w:w="6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6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分类</w:t>
            </w:r>
          </w:p>
        </w:tc>
        <w:tc>
          <w:tcPr>
            <w:tcW w:w="186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文件名称</w:t>
            </w:r>
          </w:p>
        </w:tc>
        <w:tc>
          <w:tcPr>
            <w:tcW w:w="205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</w:t>
            </w:r>
          </w:p>
        </w:tc>
        <w:tc>
          <w:tcPr>
            <w:tcW w:w="769" w:type="pct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A类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（立项和伦理审查阶段必须要提供的文件）</w:t>
            </w: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药物临床试验立项与伦理审查申请表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按各中心要求模板填写和提供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</w:t>
            </w: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研究者手册（版本号，日期）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3</w:t>
            </w: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已签字的临床试验方案（版本号，日期）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至少包含申办者签字盖章、本中心主要研究者签字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4</w:t>
            </w: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知情同意书样本（版本号，日期）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5</w:t>
            </w: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本中心主要研究者签名的履历和其他资格文件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本中心主要研究者签名的履历、GCP证书、执业证书等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6</w:t>
            </w: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本中心主要研究者利益冲突声明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7</w:t>
            </w: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申办者的资质（营业执照等）、GMP证书或满足GMP条件的声明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after="240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委托生产需提供委托生产说明及被委托方资质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8</w:t>
            </w:r>
          </w:p>
        </w:tc>
        <w:tc>
          <w:tcPr>
            <w:tcW w:w="76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B类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（立项和伦理审查阶段原则上需要提供，如有特殊情况可在试验启动前或试验过程中后补的文件）</w:t>
            </w: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药品监督管理部门对临床试验方案的许可或备案文件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NMPA批件或临床试验通知书等，中心同意前置伦理审查的，或生物等效性临床试验，可在试验启动前提供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9</w:t>
            </w:r>
          </w:p>
        </w:tc>
        <w:tc>
          <w:tcPr>
            <w:tcW w:w="7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组长单位的伦理批件和成员表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适用于本中心为参与单位，但本中心伦理同意提前审查可暂时不提供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10</w:t>
            </w:r>
          </w:p>
        </w:tc>
        <w:tc>
          <w:tcPr>
            <w:tcW w:w="7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试验用药品检验报告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特殊情况暂时不能提供的需出具试验用药品合格的声明，在寄送药品时必须提供对应批号的检验报告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11</w:t>
            </w:r>
          </w:p>
        </w:tc>
        <w:tc>
          <w:tcPr>
            <w:tcW w:w="76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病例报告表（或EDC）样本（版本号，日期）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特需情况暂时不能提供的，需要在启动前提供并完成伦理备案</w:t>
            </w:r>
          </w:p>
        </w:tc>
      </w:tr>
      <w:tr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12</w:t>
            </w:r>
          </w:p>
        </w:tc>
        <w:tc>
          <w:tcPr>
            <w:tcW w:w="76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（适用于项目涉及到的文件，如适应需提供；项目不涉及，则不需要提供）</w:t>
            </w: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除知情同意书外，其他提供给受试者的任何书面资料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如有，需提供。如受试者须知等宣教材料，受试者日记卡，受试者评分表等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13</w:t>
            </w: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招募受试者的方式和相关信息文件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如招募广告等，含版本号、版本日期，需注明发布渠道</w:t>
            </w:r>
          </w:p>
        </w:tc>
      </w:tr>
      <w:tr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14</w:t>
            </w: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受试者保险的相关文件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如有，需提供。证明受试者发生与试验相关损害时，可获得补偿或赔偿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15</w:t>
            </w: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CRO相关方资质证明文件及委托函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适用于委托CRO时，需提供，包括但不限于企业三证、委托函等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16</w:t>
            </w: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中心实验室或第三方实验室资质及室间质评证书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适用于委托中心实验室或第三方实验室时，需提供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17</w:t>
            </w: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盲法试验的揭盲程序文件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适用于未在试验方案中说明，需单独提供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18</w:t>
            </w: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安慰剂对照说明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适用于选择安慰剂作为对照情况，需提供选择安慰剂作为对照的原因说明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19</w:t>
            </w:r>
          </w:p>
        </w:tc>
        <w:tc>
          <w:tcPr>
            <w:tcW w:w="76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研究病历样表（版本号,日期）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原则上不需提交研究病历，如项目已有设计，且研究中心计划使用，需向中心提交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20</w:t>
            </w:r>
          </w:p>
        </w:tc>
        <w:tc>
          <w:tcPr>
            <w:tcW w:w="76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D类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（各中心特殊要求文件）</w:t>
            </w:r>
          </w:p>
        </w:tc>
        <w:tc>
          <w:tcPr>
            <w:tcW w:w="186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各中心根据需要要求提供的其他文件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各临床试验机构/伦理委员会SOP规定的其他特殊文件</w:t>
            </w:r>
          </w:p>
        </w:tc>
      </w:tr>
    </w:tbl>
    <w:p/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</w:rPr>
    </w:pPr>
    <w:r>
      <w:rPr>
        <w:rFonts w:hint="eastAsia"/>
      </w:rPr>
      <w:t xml:space="preserve">中南大学湘雅三医院伦理委员会    </w:t>
    </w:r>
    <w:r>
      <w:rPr>
        <w:rFonts w:hint="eastAsia"/>
        <w:lang w:val="en-US" w:eastAsia="zh-CN"/>
      </w:rPr>
      <w:t xml:space="preserve">                                  </w:t>
    </w:r>
    <w:r>
      <w:rPr>
        <w:rFonts w:hint="eastAsia"/>
      </w:rPr>
      <w:t xml:space="preserve">   版本号</w:t>
    </w:r>
    <w:r>
      <w:rPr>
        <w:rFonts w:hint="eastAsia"/>
        <w:lang w:val="en-US" w:eastAsia="zh-CN"/>
      </w:rPr>
      <w:t>1</w:t>
    </w:r>
    <w:r>
      <w:rPr>
        <w:rFonts w:hint="eastAsia"/>
      </w:rPr>
      <w:t xml:space="preserve">.0            </w:t>
    </w:r>
    <w:r>
      <w:rPr>
        <w:rFonts w:hint="eastAsia"/>
        <w:lang w:val="en-US" w:eastAsia="zh-CN"/>
      </w:rPr>
      <w:t xml:space="preserve">                                 </w:t>
    </w:r>
    <w:r>
      <w:rPr>
        <w:rFonts w:hint="eastAsia"/>
      </w:rPr>
      <w:t xml:space="preserve">    版本日期</w:t>
    </w:r>
    <w:r>
      <w:rPr>
        <w:rFonts w:hint="eastAsia"/>
        <w:lang w:eastAsia="zh-CN"/>
      </w:rPr>
      <w:t>：</w:t>
    </w:r>
    <w:r>
      <w:rPr>
        <w:rFonts w:hint="eastAsia"/>
      </w:rPr>
      <w:t>20</w:t>
    </w:r>
    <w:r>
      <w:rPr>
        <w:rFonts w:hint="eastAsia"/>
        <w:lang w:val="en-US" w:eastAsia="zh-CN"/>
      </w:rPr>
      <w:t>21</w:t>
    </w:r>
    <w:r>
      <w:rPr>
        <w:rFonts w:hint="eastAsia"/>
      </w:rPr>
      <w:t>年</w:t>
    </w:r>
    <w:r>
      <w:rPr>
        <w:rFonts w:hint="eastAsia"/>
        <w:lang w:val="en-US" w:eastAsia="zh-CN"/>
      </w:rPr>
      <w:t>6</w:t>
    </w:r>
    <w:r>
      <w:rPr>
        <w:rFonts w:hint="eastAsia"/>
      </w:rPr>
      <w:t>月</w:t>
    </w:r>
    <w:r>
      <w:rPr>
        <w:rFonts w:hint="eastAsia"/>
        <w:lang w:val="en-US" w:eastAsia="zh-CN"/>
      </w:rPr>
      <w:t>1</w:t>
    </w:r>
    <w:r>
      <w:rPr>
        <w:rFonts w:hint="eastAsia"/>
      </w:rPr>
      <w:t>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hmYjBlYzFiZWVjOGQ4NWE5YmQwNjM1OTg0OTRiMzYifQ=="/>
  </w:docVars>
  <w:rsids>
    <w:rsidRoot w:val="00740BD4"/>
    <w:rsid w:val="00231016"/>
    <w:rsid w:val="004F5AE7"/>
    <w:rsid w:val="00547E68"/>
    <w:rsid w:val="00740BD4"/>
    <w:rsid w:val="0082238E"/>
    <w:rsid w:val="00DC272C"/>
    <w:rsid w:val="619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967</Words>
  <Characters>1000</Characters>
  <Lines>7</Lines>
  <Paragraphs>2</Paragraphs>
  <TotalTime>0</TotalTime>
  <ScaleCrop>false</ScaleCrop>
  <LinksUpToDate>false</LinksUpToDate>
  <CharactersWithSpaces>1003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2021-06-22T08:35:00Z</dcterms:created>
  <dc:creator>项玉霞</dc:creator>
  <cp:lastModifiedBy>伦理办</cp:lastModifiedBy>
  <dcterms:modified xsi:type="dcterms:W3CDTF">2023-06-21T03:27:03Z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78E043A9302445269CFA19C40186037B_12</vt:lpwstr>
  </property>
</Properties>
</file>